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85" w:rsidRPr="005F6831" w:rsidRDefault="00D87985" w:rsidP="00D87985">
      <w:pPr>
        <w:pStyle w:val="Standard"/>
        <w:autoSpaceDE w:val="0"/>
        <w:spacing w:line="360" w:lineRule="auto"/>
        <w:ind w:left="3545" w:firstLine="709"/>
        <w:jc w:val="right"/>
        <w:rPr>
          <w:rFonts w:eastAsia="Arial" w:cs="Times New Roman"/>
          <w:lang w:val="pl-PL"/>
        </w:rPr>
      </w:pPr>
      <w:r>
        <w:rPr>
          <w:rFonts w:eastAsia="Arial" w:cs="Times New Roman"/>
          <w:lang w:val="pl-PL"/>
        </w:rPr>
        <w:t xml:space="preserve">  ……………… </w:t>
      </w:r>
      <w:r w:rsidRPr="005F6831">
        <w:rPr>
          <w:rFonts w:eastAsia="Arial" w:cs="Times New Roman"/>
          <w:lang w:val="pl-PL"/>
        </w:rPr>
        <w:t xml:space="preserve"> 28.12.2020</w:t>
      </w:r>
    </w:p>
    <w:p w:rsidR="00D87985" w:rsidRPr="005F6831" w:rsidRDefault="00D87985" w:rsidP="00D87985">
      <w:pPr>
        <w:pStyle w:val="Standard"/>
        <w:autoSpaceDE w:val="0"/>
        <w:spacing w:line="360" w:lineRule="auto"/>
        <w:ind w:left="5672" w:firstLine="709"/>
        <w:rPr>
          <w:rFonts w:eastAsia="Arial" w:cs="Times New Roman"/>
          <w:lang w:val="pl-PL"/>
        </w:rPr>
      </w:pPr>
    </w:p>
    <w:p w:rsidR="00D87985" w:rsidRPr="005F6831" w:rsidRDefault="00D87985" w:rsidP="00D87985">
      <w:pPr>
        <w:pStyle w:val="Standard"/>
        <w:autoSpaceDE w:val="0"/>
        <w:spacing w:line="360" w:lineRule="auto"/>
        <w:ind w:left="5672" w:firstLine="709"/>
        <w:rPr>
          <w:rFonts w:eastAsia="Arial" w:cs="Times New Roman"/>
          <w:lang w:val="pl-PL"/>
        </w:rPr>
      </w:pPr>
      <w:r w:rsidRPr="005F6831">
        <w:rPr>
          <w:rFonts w:eastAsia="Arial" w:cs="Times New Roman"/>
          <w:lang w:val="pl-PL"/>
        </w:rPr>
        <w:t>Gmina Błędów</w:t>
      </w:r>
    </w:p>
    <w:p w:rsidR="00D87985" w:rsidRPr="005F6831" w:rsidRDefault="00D87985" w:rsidP="00D87985">
      <w:pPr>
        <w:pStyle w:val="Standard"/>
        <w:autoSpaceDE w:val="0"/>
        <w:spacing w:line="360" w:lineRule="auto"/>
        <w:ind w:left="5672" w:firstLine="709"/>
        <w:rPr>
          <w:rFonts w:cs="Times New Roman"/>
        </w:rPr>
      </w:pPr>
      <w:r w:rsidRPr="005F6831">
        <w:rPr>
          <w:rFonts w:eastAsia="Arial" w:cs="Times New Roman"/>
          <w:lang w:val="pl-PL"/>
        </w:rPr>
        <w:t>05-620 Błędów</w:t>
      </w:r>
      <w:r w:rsidRPr="005F6831">
        <w:rPr>
          <w:rFonts w:cs="Times New Roman"/>
        </w:rPr>
        <w:t xml:space="preserve"> </w:t>
      </w:r>
    </w:p>
    <w:p w:rsidR="00D87985" w:rsidRDefault="00D87985" w:rsidP="00D87985">
      <w:pPr>
        <w:pStyle w:val="Standard"/>
        <w:autoSpaceDE w:val="0"/>
        <w:spacing w:line="360" w:lineRule="auto"/>
        <w:ind w:left="5672" w:firstLine="709"/>
        <w:rPr>
          <w:rFonts w:cs="Times New Roman"/>
        </w:rPr>
      </w:pPr>
      <w:proofErr w:type="spellStart"/>
      <w:r w:rsidRPr="005F6831">
        <w:rPr>
          <w:rFonts w:cs="Times New Roman"/>
        </w:rPr>
        <w:t>ul</w:t>
      </w:r>
      <w:proofErr w:type="spellEnd"/>
      <w:r w:rsidRPr="005F6831">
        <w:rPr>
          <w:rFonts w:cs="Times New Roman"/>
        </w:rPr>
        <w:t xml:space="preserve">. </w:t>
      </w:r>
      <w:proofErr w:type="spellStart"/>
      <w:r w:rsidRPr="005F6831">
        <w:rPr>
          <w:rFonts w:cs="Times New Roman"/>
        </w:rPr>
        <w:t>Sadurkowska</w:t>
      </w:r>
      <w:proofErr w:type="spellEnd"/>
      <w:r w:rsidRPr="005F6831">
        <w:rPr>
          <w:rFonts w:cs="Times New Roman"/>
        </w:rPr>
        <w:t xml:space="preserve"> 13</w:t>
      </w:r>
    </w:p>
    <w:p w:rsidR="00D87985" w:rsidRPr="005F6831" w:rsidRDefault="00D87985" w:rsidP="00D87985">
      <w:pPr>
        <w:widowControl w:val="0"/>
        <w:spacing w:before="60" w:after="60" w:line="360" w:lineRule="auto"/>
        <w:ind w:left="5105"/>
        <w:jc w:val="both"/>
        <w:rPr>
          <w:u w:val="single"/>
          <w:lang w:val="en-US"/>
        </w:rPr>
      </w:pPr>
      <w:r w:rsidRPr="005F6831">
        <w:rPr>
          <w:lang w:val="en-US" w:eastAsia="en-US"/>
        </w:rPr>
        <w:t xml:space="preserve">e-mail: </w:t>
      </w:r>
      <w:hyperlink r:id="rId5" w:history="1">
        <w:r w:rsidRPr="005F6831">
          <w:rPr>
            <w:rStyle w:val="Hipercze"/>
            <w:lang w:val="en-US" w:eastAsia="en-US"/>
          </w:rPr>
          <w:t>osrodowiska@bledow.pl</w:t>
        </w:r>
      </w:hyperlink>
      <w:r w:rsidRPr="005F6831">
        <w:rPr>
          <w:lang w:val="en-US" w:eastAsia="en-US"/>
        </w:rPr>
        <w:t xml:space="preserve"> </w:t>
      </w:r>
    </w:p>
    <w:p w:rsidR="00D87985" w:rsidRPr="005F6831" w:rsidRDefault="00D87985" w:rsidP="00D87985">
      <w:pPr>
        <w:pStyle w:val="Standard"/>
        <w:autoSpaceDE w:val="0"/>
        <w:spacing w:line="360" w:lineRule="auto"/>
        <w:ind w:left="5672" w:firstLine="709"/>
        <w:rPr>
          <w:rFonts w:cs="Times New Roman"/>
          <w:lang w:val="pl-PL"/>
        </w:rPr>
      </w:pPr>
    </w:p>
    <w:p w:rsidR="00D87985" w:rsidRPr="00D87985" w:rsidRDefault="00D87985" w:rsidP="00D87985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eastAsia="Arial" w:hAnsi="Times New Roman" w:cs="Times New Roman"/>
          <w:kern w:val="3"/>
          <w:sz w:val="24"/>
          <w:szCs w:val="24"/>
          <w:lang w:eastAsia="ja-JP" w:bidi="fa-IR"/>
        </w:rPr>
        <w:t xml:space="preserve">dotyczy postępowania </w:t>
      </w:r>
      <w:r w:rsidR="001A3FA0">
        <w:rPr>
          <w:rFonts w:ascii="Times New Roman" w:eastAsia="Arial" w:hAnsi="Times New Roman" w:cs="Times New Roman"/>
          <w:kern w:val="3"/>
          <w:sz w:val="24"/>
          <w:szCs w:val="24"/>
          <w:lang w:eastAsia="ja-JP" w:bidi="fa-IR"/>
        </w:rPr>
        <w:t>:</w:t>
      </w:r>
      <w:r w:rsidRPr="00D87985">
        <w:rPr>
          <w:rFonts w:ascii="Times New Roman" w:eastAsia="Arial" w:hAnsi="Times New Roman" w:cs="Times New Roman"/>
          <w:kern w:val="3"/>
          <w:sz w:val="24"/>
          <w:szCs w:val="24"/>
          <w:lang w:eastAsia="ja-JP" w:bidi="fa-IR"/>
        </w:rPr>
        <w:br/>
      </w:r>
      <w:r w:rsidRPr="00D87985">
        <w:rPr>
          <w:rFonts w:ascii="Times New Roman" w:hAnsi="Times New Roman" w:cs="Times New Roman"/>
          <w:b/>
          <w:sz w:val="24"/>
          <w:szCs w:val="24"/>
        </w:rPr>
        <w:t>Budowę przydomowych oczyszczalni ścieków na terenie Gminy Błędów”</w:t>
      </w:r>
      <w:r w:rsidRPr="00D87985">
        <w:rPr>
          <w:rFonts w:ascii="Times New Roman" w:hAnsi="Times New Roman" w:cs="Times New Roman"/>
          <w:sz w:val="24"/>
          <w:szCs w:val="24"/>
        </w:rPr>
        <w:t xml:space="preserve"> Ogłoszenie</w:t>
      </w:r>
      <w:r w:rsidRPr="00D8798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87985">
        <w:rPr>
          <w:rFonts w:ascii="Times New Roman" w:hAnsi="Times New Roman" w:cs="Times New Roman"/>
          <w:b/>
          <w:sz w:val="24"/>
          <w:szCs w:val="24"/>
        </w:rPr>
        <w:t xml:space="preserve">nr 768488-N-2020 z dnia 2020-12-18 r. Nr referencyjny: </w:t>
      </w:r>
      <w:proofErr w:type="spellStart"/>
      <w:r w:rsidRPr="00D87985">
        <w:rPr>
          <w:rFonts w:ascii="Times New Roman" w:hAnsi="Times New Roman" w:cs="Times New Roman"/>
          <w:b/>
          <w:sz w:val="24"/>
          <w:szCs w:val="24"/>
        </w:rPr>
        <w:t>RŻL-II</w:t>
      </w:r>
      <w:proofErr w:type="spellEnd"/>
      <w:r w:rsidRPr="00D87985">
        <w:rPr>
          <w:rFonts w:ascii="Times New Roman" w:hAnsi="Times New Roman" w:cs="Times New Roman"/>
          <w:b/>
          <w:sz w:val="24"/>
          <w:szCs w:val="24"/>
        </w:rPr>
        <w:t>- 271/7/2020</w:t>
      </w:r>
    </w:p>
    <w:p w:rsidR="00D87985" w:rsidRPr="00D87985" w:rsidRDefault="00D87985" w:rsidP="00D87985">
      <w:pPr>
        <w:widowControl w:val="0"/>
        <w:spacing w:before="60" w:after="60" w:line="36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87985" w:rsidRPr="00D87985" w:rsidRDefault="00D87985" w:rsidP="00D8798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 xml:space="preserve">oferenta nr </w:t>
      </w:r>
      <w:r w:rsidRPr="00D87985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D87985" w:rsidRPr="00C60E3E" w:rsidRDefault="00D87985" w:rsidP="00D87985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E3E">
        <w:rPr>
          <w:rFonts w:ascii="Times New Roman" w:hAnsi="Times New Roman" w:cs="Times New Roman"/>
          <w:sz w:val="24"/>
          <w:szCs w:val="24"/>
        </w:rPr>
        <w:t>Zamawiający „ wymaga się, aby urządzenia oczyszczalni posiadały pełne raporty (wraz</w:t>
      </w:r>
      <w:r w:rsidRPr="00C60E3E">
        <w:rPr>
          <w:rFonts w:ascii="Times New Roman" w:hAnsi="Times New Roman" w:cs="Times New Roman"/>
          <w:sz w:val="24"/>
          <w:szCs w:val="24"/>
        </w:rPr>
        <w:br/>
        <w:t xml:space="preserve"> z wszystkimi załącznikami) z przeprowadzonych badań w laboratoriach notyfikowanych przez Komisję Europejską zgodnie z wykazem dostępnym  na stronie: http://ec.europa.eu/ wg procedur określonych w normie PN-EN 12566-3+A2: 2013 dla reprezentatywnego modelu </w:t>
      </w:r>
      <w:r w:rsidRPr="00C60E3E">
        <w:rPr>
          <w:rFonts w:ascii="Times New Roman" w:hAnsi="Times New Roman" w:cs="Times New Roman"/>
          <w:sz w:val="24"/>
          <w:szCs w:val="24"/>
        </w:rPr>
        <w:br/>
        <w:t xml:space="preserve">z rodziny urządzeń produkowanych przez producenta (patrz tablica </w:t>
      </w:r>
      <w:r w:rsidRPr="00C60E3E">
        <w:rPr>
          <w:rFonts w:ascii="Times New Roman" w:hAnsi="Times New Roman" w:cs="Times New Roman"/>
          <w:sz w:val="24"/>
          <w:szCs w:val="24"/>
        </w:rPr>
        <w:br/>
        <w:t>1  str. 17 normy) w zakresie:</w:t>
      </w:r>
    </w:p>
    <w:p w:rsidR="00D87985" w:rsidRPr="00C60E3E" w:rsidRDefault="00D87985" w:rsidP="00D87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3E">
        <w:rPr>
          <w:rFonts w:ascii="Times New Roman" w:hAnsi="Times New Roman" w:cs="Times New Roman"/>
          <w:sz w:val="24"/>
          <w:szCs w:val="24"/>
        </w:rPr>
        <w:t>efektywności oczyszczania dla parametrów - zgodnie z załącznikiem B normy (dla najmniejszego modelu z rodziny) i zawierać informacje według punku B.5. Określenie właściwości podstawowych zgodnie z rozdziałem 5 i 6.3 normy.</w:t>
      </w:r>
    </w:p>
    <w:p w:rsidR="00D87985" w:rsidRPr="00C60E3E" w:rsidRDefault="00D87985" w:rsidP="00D87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3E">
        <w:rPr>
          <w:rFonts w:ascii="Times New Roman" w:hAnsi="Times New Roman" w:cs="Times New Roman"/>
          <w:sz w:val="24"/>
          <w:szCs w:val="24"/>
        </w:rPr>
        <w:t>wytrzymałości konstrukcyjnej zbiorników – zgodnie z rozdziałem 6.2.1 i 6.2.2 normy (dla największego modelu z rodziny) ,</w:t>
      </w:r>
    </w:p>
    <w:p w:rsidR="00D87985" w:rsidRPr="00C60E3E" w:rsidRDefault="00D87985" w:rsidP="00D87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3E">
        <w:rPr>
          <w:rFonts w:ascii="Times New Roman" w:hAnsi="Times New Roman" w:cs="Times New Roman"/>
          <w:sz w:val="24"/>
          <w:szCs w:val="24"/>
        </w:rPr>
        <w:t>wodoszczelności – zgodnie z załącznikiem A, rozdział 6.4 normy (dla wszystkich modeli z rodziny),</w:t>
      </w:r>
    </w:p>
    <w:p w:rsidR="00D87985" w:rsidRPr="00C60E3E" w:rsidRDefault="00D87985" w:rsidP="00D879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E3E">
        <w:rPr>
          <w:rFonts w:ascii="Times New Roman" w:hAnsi="Times New Roman" w:cs="Times New Roman"/>
          <w:sz w:val="24"/>
          <w:szCs w:val="24"/>
        </w:rPr>
        <w:t>trwałości materiału, z którego wykonane są zbiorniki POŚ zgodnie z rozdziałem 6.5 normy</w:t>
      </w:r>
      <w:r w:rsidRPr="00C60E3E">
        <w:rPr>
          <w:rFonts w:ascii="Times New Roman" w:hAnsi="Times New Roman" w:cs="Times New Roman"/>
          <w:b/>
          <w:sz w:val="24"/>
          <w:szCs w:val="24"/>
        </w:rPr>
        <w:t xml:space="preserve">. „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9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7985">
        <w:rPr>
          <w:rFonts w:ascii="Times New Roman" w:hAnsi="Times New Roman" w:cs="Times New Roman"/>
          <w:sz w:val="24"/>
          <w:szCs w:val="24"/>
        </w:rPr>
        <w:t xml:space="preserve">Czy  Zamawiający będzie wymagał, by do oferty zostały dołączone pełne raporty  </w:t>
      </w:r>
      <w:r w:rsidRPr="00D87985">
        <w:rPr>
          <w:rFonts w:ascii="Times New Roman" w:hAnsi="Times New Roman" w:cs="Times New Roman"/>
          <w:sz w:val="24"/>
          <w:szCs w:val="24"/>
        </w:rPr>
        <w:br/>
        <w:t xml:space="preserve"> z badań wystawionych przez laboratorium notyfikowane przez Komisję Europejską , według procedur określonych w normie PN EN 12566-3:+A2:2013: </w:t>
      </w:r>
    </w:p>
    <w:p w:rsidR="00D87985" w:rsidRPr="00D87985" w:rsidRDefault="00D87985" w:rsidP="00D8798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overflowPunct/>
        <w:jc w:val="both"/>
        <w:textAlignment w:val="auto"/>
        <w:rPr>
          <w:sz w:val="24"/>
          <w:szCs w:val="24"/>
        </w:rPr>
      </w:pPr>
      <w:r w:rsidRPr="00D87985">
        <w:rPr>
          <w:sz w:val="24"/>
          <w:szCs w:val="24"/>
        </w:rPr>
        <w:t>raport wodoszczelności dla całego typoszeregu oferowanych oczyszczalni,</w:t>
      </w:r>
      <w:r w:rsidRPr="00D87985">
        <w:rPr>
          <w:sz w:val="24"/>
          <w:szCs w:val="24"/>
          <w:lang w:val="pl-PL"/>
        </w:rPr>
        <w:br/>
      </w:r>
      <w:r w:rsidRPr="00D87985">
        <w:rPr>
          <w:sz w:val="24"/>
          <w:szCs w:val="24"/>
        </w:rPr>
        <w:t xml:space="preserve"> a nie poszczególnych zbiorników lub oczyszczalni z innego typoszeregu, wykonanego przez laboratorium notyfikowane, zgodnie z załącznikiem „A” normy PN EN 12566-3:2005+A2:2013, a w szczególności tablicą „A.1” przedmiotowej normy w warunkach mokrych WET;</w:t>
      </w:r>
    </w:p>
    <w:p w:rsidR="00D87985" w:rsidRPr="00D87985" w:rsidRDefault="00D87985" w:rsidP="00D8798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overflowPunct/>
        <w:jc w:val="both"/>
        <w:textAlignment w:val="auto"/>
        <w:rPr>
          <w:sz w:val="24"/>
          <w:szCs w:val="24"/>
        </w:rPr>
      </w:pPr>
      <w:r w:rsidRPr="00D87985">
        <w:rPr>
          <w:sz w:val="24"/>
          <w:szCs w:val="24"/>
        </w:rPr>
        <w:t xml:space="preserve">raport wytrzymałości konstrukcyjnej dla oferowanych oczyszczalni (największa oczyszczalnia z typoszeregu, a nie największy pojedynczy zbiornik). W tym zakresie Zamawiający wymaga dostarczenia raportu wytrzymałości konstrukcyjnej wykonanego przez laboratorium notyfikowane, zgodnie z załącznikiem „C6” normy PN EN 12566-3:2005+A2:2013 dla warunków suchych i mokrych, rozdział 6.2.1 , 6.2.2 wyrażona jako maksymalna dopuszczalna wysokość zasypki (M) oraz możliwości instalacji urządzenia w mokrym lub suchym miejscu, wyrażona jako WET ze wskazaniem maksymalnej wysokości lustra wody mierzonej od dna zbiornika - lub metodą obliczeniową , obejmującą najbardziej niekorzystne </w:t>
      </w:r>
      <w:r w:rsidRPr="00D87985">
        <w:rPr>
          <w:sz w:val="24"/>
          <w:szCs w:val="24"/>
        </w:rPr>
        <w:lastRenderedPageBreak/>
        <w:t xml:space="preserve">warunki pracy urządzenia wykonanej przez laboratorium notyfikowane zgodnie </w:t>
      </w:r>
      <w:r w:rsidRPr="00D87985">
        <w:rPr>
          <w:sz w:val="24"/>
          <w:szCs w:val="24"/>
        </w:rPr>
        <w:br/>
        <w:t>z normą PN-EN 12566-3:2005+A2:2013</w:t>
      </w:r>
      <w:r w:rsidRPr="00D87985">
        <w:rPr>
          <w:iCs/>
          <w:sz w:val="24"/>
          <w:szCs w:val="24"/>
        </w:rPr>
        <w:t xml:space="preserve"> rozdział 6.2.1</w:t>
      </w:r>
      <w:r w:rsidRPr="00D87985">
        <w:rPr>
          <w:rFonts w:eastAsia="Helvetica"/>
          <w:sz w:val="24"/>
          <w:szCs w:val="24"/>
        </w:rPr>
        <w:t xml:space="preserve"> :</w:t>
      </w:r>
    </w:p>
    <w:p w:rsidR="00D87985" w:rsidRPr="00D87985" w:rsidRDefault="00D87985" w:rsidP="00D8798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overflowPunct/>
        <w:jc w:val="both"/>
        <w:textAlignment w:val="auto"/>
        <w:rPr>
          <w:sz w:val="24"/>
          <w:szCs w:val="24"/>
        </w:rPr>
      </w:pPr>
      <w:r w:rsidRPr="00D87985">
        <w:rPr>
          <w:sz w:val="24"/>
          <w:szCs w:val="24"/>
        </w:rPr>
        <w:t>raport efektywności oczyszczania dla parametrów: BZT</w:t>
      </w:r>
      <w:r w:rsidRPr="00D87985">
        <w:rPr>
          <w:sz w:val="24"/>
          <w:szCs w:val="24"/>
          <w:vertAlign w:val="subscript"/>
        </w:rPr>
        <w:t xml:space="preserve">5 </w:t>
      </w:r>
      <w:r w:rsidRPr="00D87985">
        <w:rPr>
          <w:sz w:val="24"/>
          <w:szCs w:val="24"/>
        </w:rPr>
        <w:t>lub BZT</w:t>
      </w:r>
      <w:r w:rsidRPr="00D87985">
        <w:rPr>
          <w:sz w:val="24"/>
          <w:szCs w:val="24"/>
          <w:vertAlign w:val="subscript"/>
        </w:rPr>
        <w:t>7</w:t>
      </w:r>
      <w:r w:rsidRPr="00D87985">
        <w:rPr>
          <w:sz w:val="24"/>
          <w:szCs w:val="24"/>
        </w:rPr>
        <w:t xml:space="preserve">, </w:t>
      </w:r>
      <w:proofErr w:type="spellStart"/>
      <w:r w:rsidRPr="00D87985">
        <w:rPr>
          <w:sz w:val="24"/>
          <w:szCs w:val="24"/>
        </w:rPr>
        <w:t>ChZT</w:t>
      </w:r>
      <w:proofErr w:type="spellEnd"/>
      <w:r w:rsidRPr="00D87985">
        <w:rPr>
          <w:sz w:val="24"/>
          <w:szCs w:val="24"/>
        </w:rPr>
        <w:t xml:space="preserve">, zawiesina. Uwaga : w badaniach zgodnie z rozporządzeniem trzeba podawać stężenia zanieczyszczeń ścieków surowych i oczyszczonych oraz wartość procentową. Zamawiający wymaga, aby badanie efektywności oczyszczania było wykonane przez laboratorium notyfikowane zgodnie z załącznikiem „B” normy PN EN 12566-3:2005+A2:2013 zgodnie z procedurami zawartymi </w:t>
      </w:r>
      <w:r w:rsidRPr="00D87985">
        <w:rPr>
          <w:sz w:val="24"/>
          <w:szCs w:val="24"/>
          <w:lang w:val="pl-PL"/>
        </w:rPr>
        <w:br/>
      </w:r>
      <w:r w:rsidRPr="00D87985">
        <w:rPr>
          <w:sz w:val="24"/>
          <w:szCs w:val="24"/>
        </w:rPr>
        <w:t>w punktach od B.1 do B.5;</w:t>
      </w:r>
    </w:p>
    <w:p w:rsidR="00D87985" w:rsidRPr="00D87985" w:rsidRDefault="00D87985" w:rsidP="00D87985">
      <w:pPr>
        <w:pStyle w:val="Akapitzlist"/>
        <w:widowControl w:val="0"/>
        <w:numPr>
          <w:ilvl w:val="0"/>
          <w:numId w:val="2"/>
        </w:numPr>
        <w:tabs>
          <w:tab w:val="left" w:pos="1134"/>
        </w:tabs>
        <w:overflowPunct/>
        <w:jc w:val="both"/>
        <w:textAlignment w:val="auto"/>
        <w:rPr>
          <w:sz w:val="24"/>
          <w:szCs w:val="24"/>
        </w:rPr>
      </w:pPr>
      <w:r w:rsidRPr="00D87985">
        <w:rPr>
          <w:sz w:val="24"/>
          <w:szCs w:val="24"/>
        </w:rPr>
        <w:t xml:space="preserve">raport trwałości materiału (badanie materiału) - badanie wykonane zgodnie </w:t>
      </w:r>
      <w:r w:rsidRPr="00D87985">
        <w:rPr>
          <w:sz w:val="24"/>
          <w:szCs w:val="24"/>
        </w:rPr>
        <w:br/>
        <w:t>z rozdziałem 6.5 normy PN-EN 12566-3:2005+A2:2013, określające właściwość materiału, z którego wykonana jest oczyszczalnia, wystawiony przez jednostkę notyfikowaną  w Komisji Europejskiej .</w:t>
      </w:r>
    </w:p>
    <w:p w:rsidR="00D87985" w:rsidRPr="00D87985" w:rsidRDefault="00D87985" w:rsidP="00D879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Wymóg taki pozwoli Zamawiającemu na jednoznaczne dokonanie  oceny, czy oferowany produkt jest zgodny z normą PN-EN 12566-3:2005+A2:2013. </w:t>
      </w:r>
    </w:p>
    <w:p w:rsid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>Odpowiedź Zamawiającego</w:t>
      </w:r>
      <w:r>
        <w:rPr>
          <w:rFonts w:ascii="Times New Roman" w:hAnsi="Times New Roman" w:cs="Times New Roman"/>
          <w:b/>
          <w:sz w:val="24"/>
          <w:szCs w:val="24"/>
        </w:rPr>
        <w:t xml:space="preserve"> na pytanie 1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7985" w:rsidRDefault="00D87985" w:rsidP="00D87985">
      <w:pPr>
        <w:spacing w:after="0" w:line="240" w:lineRule="auto"/>
        <w:jc w:val="both"/>
        <w:rPr>
          <w:b/>
        </w:rPr>
      </w:pPr>
      <w:r w:rsidRPr="00D87985">
        <w:rPr>
          <w:rFonts w:ascii="Times New Roman" w:hAnsi="Times New Roman" w:cs="Times New Roman"/>
          <w:b/>
        </w:rPr>
        <w:t xml:space="preserve">Tak. </w:t>
      </w:r>
      <w:r w:rsidRPr="00D87985">
        <w:rPr>
          <w:rFonts w:ascii="Times New Roman" w:hAnsi="Times New Roman" w:cs="Times New Roman"/>
          <w:sz w:val="24"/>
          <w:szCs w:val="24"/>
        </w:rPr>
        <w:t xml:space="preserve">Zamawiający będzie wymagał, by do oferty zostały dołączone pełne raporty  </w:t>
      </w:r>
      <w:r w:rsidRPr="00D87985">
        <w:rPr>
          <w:rFonts w:ascii="Times New Roman" w:hAnsi="Times New Roman" w:cs="Times New Roman"/>
          <w:sz w:val="24"/>
          <w:szCs w:val="24"/>
        </w:rPr>
        <w:br/>
        <w:t xml:space="preserve"> z badań wystawionych przez laboratorium notyfikowane przez Komisję Europejską , według procedur określonych w normie PN EN 12566-3:+A2:2013</w:t>
      </w:r>
      <w:r>
        <w:rPr>
          <w:rFonts w:ascii="Times New Roman" w:hAnsi="Times New Roman" w:cs="Times New Roman"/>
          <w:sz w:val="24"/>
          <w:szCs w:val="24"/>
        </w:rPr>
        <w:t xml:space="preserve"> zgodnie z zapisami w SIWZ i ogłoszeniu o zamówieniu</w:t>
      </w:r>
    </w:p>
    <w:p w:rsid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 xml:space="preserve">Pytanie  Oferenta nr 2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85" w:rsidRPr="00C60E3E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3E">
        <w:rPr>
          <w:rFonts w:ascii="Times New Roman" w:hAnsi="Times New Roman" w:cs="Times New Roman"/>
          <w:sz w:val="24"/>
          <w:szCs w:val="24"/>
        </w:rPr>
        <w:t xml:space="preserve">Zamawiający „wymaga się, aby urządzenia oczyszczalni posiadały zgodność wydaną przez producenta na podstawie pełnych raportów z przeprowadzonych badań </w:t>
      </w:r>
      <w:r w:rsidRPr="00C60E3E">
        <w:rPr>
          <w:rFonts w:ascii="Times New Roman" w:hAnsi="Times New Roman" w:cs="Times New Roman"/>
          <w:sz w:val="24"/>
          <w:szCs w:val="24"/>
        </w:rPr>
        <w:br/>
        <w:t xml:space="preserve">w laboratoriach notyfikowanych Deklarację Właściwości Użytkowych zgodną </w:t>
      </w:r>
      <w:r w:rsidRPr="00C60E3E">
        <w:rPr>
          <w:rFonts w:ascii="Times New Roman" w:hAnsi="Times New Roman" w:cs="Times New Roman"/>
          <w:sz w:val="24"/>
          <w:szCs w:val="24"/>
        </w:rPr>
        <w:br/>
        <w:t xml:space="preserve">z Załącznikiem III i V Rozporządzenia Parlamentu Europejskiego i Rady Unii Europejskiej nr 305/2011 z dnia 9 marca 2011 r. z </w:t>
      </w:r>
      <w:proofErr w:type="spellStart"/>
      <w:r w:rsidRPr="00C60E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60E3E">
        <w:rPr>
          <w:rFonts w:ascii="Times New Roman" w:hAnsi="Times New Roman" w:cs="Times New Roman"/>
          <w:sz w:val="24"/>
          <w:szCs w:val="24"/>
        </w:rPr>
        <w:t>. Zmianami oraz udokumentowane oznakowanie CE.”</w:t>
      </w:r>
    </w:p>
    <w:p w:rsidR="00D87985" w:rsidRPr="00C60E3E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3E">
        <w:rPr>
          <w:rFonts w:ascii="Times New Roman" w:hAnsi="Times New Roman" w:cs="Times New Roman"/>
          <w:sz w:val="24"/>
          <w:szCs w:val="24"/>
        </w:rPr>
        <w:t>Czy Zamawiający będzie wymagał by do oferty została dołączona Deklaracja Właściwości Użytkowych?.Zgodnie z obowiązującymi przepisami , Deklaracja właściwości użytkowych musi  zostać dostarczona dla każdego produktu w formie papierowej lub elektronicznej.</w:t>
      </w:r>
    </w:p>
    <w:p w:rsidR="00D87985" w:rsidRPr="00C60E3E" w:rsidRDefault="00D87985" w:rsidP="00D8798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3E">
        <w:rPr>
          <w:rFonts w:ascii="Times New Roman" w:hAnsi="Times New Roman" w:cs="Times New Roman"/>
          <w:sz w:val="24"/>
          <w:szCs w:val="24"/>
        </w:rPr>
        <w:t xml:space="preserve">Wymóg taki pozwoli Zamawiającemu na jednoznaczne dokonanie  oceny, czy oferowany produkt jest zgodny z normą PN-EN 12566-3:2005+A2:2013. </w:t>
      </w:r>
    </w:p>
    <w:p w:rsidR="00D87985" w:rsidRDefault="00D87985" w:rsidP="00D87985">
      <w:pPr>
        <w:spacing w:after="0" w:line="360" w:lineRule="auto"/>
        <w:ind w:left="426" w:hanging="426"/>
        <w:jc w:val="both"/>
        <w:rPr>
          <w:b/>
        </w:rPr>
      </w:pPr>
    </w:p>
    <w:p w:rsidR="00D87985" w:rsidRPr="00D87985" w:rsidRDefault="00D87985" w:rsidP="00D879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>Odpowiedź Zamawiającego</w:t>
      </w:r>
      <w:r>
        <w:rPr>
          <w:rFonts w:ascii="Times New Roman" w:hAnsi="Times New Roman" w:cs="Times New Roman"/>
          <w:b/>
          <w:sz w:val="24"/>
          <w:szCs w:val="24"/>
        </w:rPr>
        <w:t xml:space="preserve"> na pytanie 2 </w:t>
      </w:r>
    </w:p>
    <w:p w:rsidR="00D87985" w:rsidRPr="00D87985" w:rsidRDefault="00D87985" w:rsidP="00D87985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>Tak.</w:t>
      </w:r>
      <w:r w:rsidRPr="00D87985">
        <w:rPr>
          <w:rFonts w:ascii="Times New Roman" w:hAnsi="Times New Roman" w:cs="Times New Roman"/>
          <w:sz w:val="24"/>
          <w:szCs w:val="24"/>
        </w:rPr>
        <w:t xml:space="preserve"> Zamawiający będzie żądał dołączenia do oferty Deklarację właściwości użytkowych</w:t>
      </w:r>
    </w:p>
    <w:p w:rsidR="00D87985" w:rsidRPr="00D87985" w:rsidRDefault="00D87985" w:rsidP="00D8798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 xml:space="preserve">Pytanie  Oferenta nr 3 </w:t>
      </w:r>
    </w:p>
    <w:p w:rsidR="00D87985" w:rsidRPr="00D87985" w:rsidRDefault="00D87985" w:rsidP="00D8798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Zamawiający „Wymaga się, aby urządzenia oczyszczalni posiadały (potwierdzoną przez laboratorium notyfikowane, które wykonywało badania zgodnie z Załącznikiem B normy PN-EN 12566-3+A2: 2013, wydaną przez producenta) Dokumentację Techniczno Ruchową (DTR) z przedstawionymi między innymi w jej treści materiałami graficznymi: parametrami wielkościowymi, opisem urządzeń do oczyszczania, z przedstawioną instrukcją montażu oraz instrukcją obsługi i eksploatacji lub oświadczenie producenta urządzeń, że w/w dokumenty są zgodne z dokumentami dostarczonymi wraz z urządzeniami do badania skuteczności oczyszczania zgodnie z procedurami określonymi w </w:t>
      </w:r>
      <w:proofErr w:type="spellStart"/>
      <w:r w:rsidRPr="00D8798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87985">
        <w:rPr>
          <w:rFonts w:ascii="Times New Roman" w:hAnsi="Times New Roman" w:cs="Times New Roman"/>
          <w:sz w:val="24"/>
          <w:szCs w:val="24"/>
        </w:rPr>
        <w:t xml:space="preserve"> B.2.1, B.2.2, B.2.3 załącznika B </w:t>
      </w:r>
      <w:r w:rsidRPr="00D87985">
        <w:rPr>
          <w:rFonts w:ascii="Times New Roman" w:hAnsi="Times New Roman" w:cs="Times New Roman"/>
          <w:sz w:val="24"/>
          <w:szCs w:val="24"/>
        </w:rPr>
        <w:lastRenderedPageBreak/>
        <w:t>normy PN-EN 12566-3+A2:2013 (potwierdzając to przez zaparafowanie każdego z załączonych w/w dokumentów).”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985" w:rsidRPr="00D87985" w:rsidRDefault="00D87985" w:rsidP="00D87985">
      <w:pPr>
        <w:spacing w:after="0" w:line="240" w:lineRule="auto"/>
        <w:jc w:val="both"/>
        <w:rPr>
          <w:rStyle w:val="gwp819a05e4size"/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 xml:space="preserve"> Czy Zamawiający będzie wymagał , aby  </w:t>
      </w:r>
      <w:r w:rsidRPr="00D87985">
        <w:rPr>
          <w:rFonts w:ascii="Times New Roman" w:hAnsi="Times New Roman" w:cs="Times New Roman"/>
          <w:sz w:val="24"/>
          <w:szCs w:val="24"/>
        </w:rPr>
        <w:t xml:space="preserve">Dokumentacja Techniczno-Ruchowa zawierała  również </w:t>
      </w:r>
      <w:r w:rsidRPr="00D87985">
        <w:rPr>
          <w:rStyle w:val="gwp819a05e4size"/>
          <w:rFonts w:ascii="Times New Roman" w:hAnsi="Times New Roman" w:cs="Times New Roman"/>
          <w:sz w:val="24"/>
          <w:szCs w:val="24"/>
        </w:rPr>
        <w:t xml:space="preserve"> </w:t>
      </w:r>
    </w:p>
    <w:p w:rsidR="00D87985" w:rsidRPr="00D87985" w:rsidRDefault="00D87985" w:rsidP="00D879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gwp819a05e4size"/>
          <w:rFonts w:ascii="Times New Roman" w:hAnsi="Times New Roman" w:cs="Times New Roman"/>
          <w:sz w:val="24"/>
          <w:szCs w:val="24"/>
        </w:rPr>
      </w:pPr>
      <w:r w:rsidRPr="00D87985">
        <w:rPr>
          <w:rStyle w:val="gwp819a05e4size"/>
          <w:rFonts w:ascii="Times New Roman" w:hAnsi="Times New Roman" w:cs="Times New Roman"/>
          <w:sz w:val="24"/>
          <w:szCs w:val="24"/>
        </w:rPr>
        <w:t>warunki gwarancji i  postępowania w przypadku awarii?</w:t>
      </w:r>
    </w:p>
    <w:p w:rsidR="00D87985" w:rsidRPr="00D87985" w:rsidRDefault="00D87985" w:rsidP="00D879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gwp819a05e4size"/>
          <w:rFonts w:ascii="Times New Roman" w:hAnsi="Times New Roman" w:cs="Times New Roman"/>
          <w:sz w:val="24"/>
          <w:szCs w:val="24"/>
        </w:rPr>
      </w:pPr>
      <w:r w:rsidRPr="00D87985">
        <w:rPr>
          <w:rStyle w:val="gwp819a05e4size"/>
          <w:rFonts w:ascii="Times New Roman" w:hAnsi="Times New Roman" w:cs="Times New Roman"/>
          <w:sz w:val="24"/>
          <w:szCs w:val="24"/>
        </w:rPr>
        <w:t xml:space="preserve">informacje o spełnieniu wymagań wynikających z norm i przepisów? </w:t>
      </w:r>
    </w:p>
    <w:p w:rsidR="00D87985" w:rsidRPr="00D87985" w:rsidRDefault="00D87985" w:rsidP="00D87985">
      <w:pPr>
        <w:spacing w:after="0" w:line="240" w:lineRule="auto"/>
        <w:jc w:val="both"/>
        <w:rPr>
          <w:rStyle w:val="gwp819a05e4size"/>
          <w:rFonts w:ascii="Times New Roman" w:hAnsi="Times New Roman" w:cs="Times New Roman"/>
          <w:sz w:val="24"/>
          <w:szCs w:val="24"/>
        </w:rPr>
      </w:pPr>
    </w:p>
    <w:p w:rsidR="00D87985" w:rsidRPr="00D87985" w:rsidRDefault="00D87985" w:rsidP="00D87985">
      <w:pPr>
        <w:spacing w:after="0" w:line="240" w:lineRule="auto"/>
        <w:jc w:val="both"/>
        <w:rPr>
          <w:rStyle w:val="gwp819a05e4size"/>
          <w:rFonts w:ascii="Times New Roman" w:hAnsi="Times New Roman" w:cs="Times New Roman"/>
          <w:sz w:val="24"/>
          <w:szCs w:val="24"/>
        </w:rPr>
      </w:pPr>
      <w:r w:rsidRPr="00D87985">
        <w:rPr>
          <w:rStyle w:val="gwp819a05e4size"/>
          <w:rFonts w:ascii="Times New Roman" w:hAnsi="Times New Roman" w:cs="Times New Roman"/>
          <w:sz w:val="24"/>
          <w:szCs w:val="24"/>
        </w:rPr>
        <w:t xml:space="preserve">Wymóg taki , pozwala ocenić Zamawiającemu, czy DTR została wydana zgodnie z obowiązującymi  przepisami  </w:t>
      </w:r>
    </w:p>
    <w:p w:rsidR="00D87985" w:rsidRDefault="00D87985" w:rsidP="00D87985">
      <w:pPr>
        <w:spacing w:after="0" w:line="240" w:lineRule="auto"/>
        <w:jc w:val="both"/>
        <w:rPr>
          <w:rStyle w:val="gwp819a05e4size"/>
          <w:rFonts w:ascii="Times New Roman" w:hAnsi="Times New Roman" w:cs="Times New Roman"/>
          <w:sz w:val="24"/>
          <w:szCs w:val="24"/>
        </w:rPr>
      </w:pPr>
    </w:p>
    <w:p w:rsidR="004178A8" w:rsidRDefault="004178A8" w:rsidP="00D87985">
      <w:pPr>
        <w:spacing w:after="0" w:line="240" w:lineRule="auto"/>
        <w:jc w:val="both"/>
        <w:rPr>
          <w:rStyle w:val="gwp819a05e4size"/>
          <w:rFonts w:ascii="Times New Roman" w:hAnsi="Times New Roman" w:cs="Times New Roman"/>
          <w:b/>
          <w:sz w:val="24"/>
          <w:szCs w:val="24"/>
        </w:rPr>
      </w:pPr>
      <w:r w:rsidRPr="004178A8">
        <w:rPr>
          <w:rStyle w:val="gwp819a05e4size"/>
          <w:rFonts w:ascii="Times New Roman" w:hAnsi="Times New Roman" w:cs="Times New Roman"/>
          <w:b/>
          <w:sz w:val="24"/>
          <w:szCs w:val="24"/>
        </w:rPr>
        <w:t xml:space="preserve">Odpowiedź Zamawiającego na pytanie 3 </w:t>
      </w:r>
    </w:p>
    <w:p w:rsidR="00C60E3E" w:rsidRPr="004178A8" w:rsidRDefault="00C60E3E" w:rsidP="00D87985">
      <w:pPr>
        <w:spacing w:after="0" w:line="240" w:lineRule="auto"/>
        <w:jc w:val="both"/>
        <w:rPr>
          <w:rStyle w:val="gwp819a05e4size"/>
          <w:rFonts w:ascii="Times New Roman" w:hAnsi="Times New Roman" w:cs="Times New Roman"/>
          <w:b/>
          <w:sz w:val="24"/>
          <w:szCs w:val="24"/>
        </w:rPr>
      </w:pPr>
    </w:p>
    <w:p w:rsidR="00D87985" w:rsidRPr="00D87985" w:rsidRDefault="004178A8" w:rsidP="004178A8">
      <w:pPr>
        <w:pStyle w:val="Akapitzlist"/>
        <w:widowControl w:val="0"/>
        <w:tabs>
          <w:tab w:val="left" w:pos="0"/>
        </w:tabs>
        <w:overflowPunct/>
        <w:ind w:left="0"/>
        <w:jc w:val="both"/>
        <w:textAlignment w:val="auto"/>
        <w:rPr>
          <w:rStyle w:val="gwp819a05e4size"/>
          <w:sz w:val="24"/>
          <w:szCs w:val="24"/>
          <w:lang w:val="pl-PL"/>
        </w:rPr>
      </w:pPr>
      <w:r w:rsidRPr="004178A8">
        <w:rPr>
          <w:rStyle w:val="gwp819a05e4size"/>
          <w:b/>
          <w:sz w:val="24"/>
          <w:szCs w:val="24"/>
          <w:lang w:val="pl-PL"/>
        </w:rPr>
        <w:t>Tak.</w:t>
      </w:r>
      <w:r>
        <w:rPr>
          <w:rStyle w:val="gwp819a05e4size"/>
          <w:sz w:val="24"/>
          <w:szCs w:val="24"/>
          <w:lang w:val="pl-PL"/>
        </w:rPr>
        <w:t xml:space="preserve"> Zamawiający będzie wymagał aby DTR zawierała również warunki gwarancji i postępowania na wypadek awarii oraz informacje o spełnianiu wymagań wynikających z norm i przepisów.</w:t>
      </w:r>
    </w:p>
    <w:p w:rsidR="004178A8" w:rsidRDefault="004178A8" w:rsidP="00D8798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985" w:rsidRPr="00D87985" w:rsidRDefault="00D87985" w:rsidP="00D8798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 w:rsidR="004178A8">
        <w:rPr>
          <w:rFonts w:ascii="Times New Roman" w:hAnsi="Times New Roman" w:cs="Times New Roman"/>
          <w:b/>
          <w:sz w:val="24"/>
          <w:szCs w:val="24"/>
        </w:rPr>
        <w:t xml:space="preserve">oferenta nr </w:t>
      </w:r>
      <w:r w:rsidRPr="00D87985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D87985" w:rsidRPr="00D87985" w:rsidRDefault="00D87985" w:rsidP="00D8798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985" w:rsidRPr="00C60E3E" w:rsidRDefault="00D87985" w:rsidP="00D87985">
      <w:pPr>
        <w:pStyle w:val="Akapitzlist"/>
        <w:widowControl w:val="0"/>
        <w:tabs>
          <w:tab w:val="left" w:pos="1134"/>
        </w:tabs>
        <w:overflowPunct/>
        <w:ind w:left="0"/>
        <w:jc w:val="both"/>
        <w:textAlignment w:val="auto"/>
        <w:rPr>
          <w:sz w:val="24"/>
          <w:szCs w:val="24"/>
          <w:lang w:val="pl-PL"/>
        </w:rPr>
      </w:pPr>
      <w:r w:rsidRPr="00C60E3E">
        <w:rPr>
          <w:sz w:val="24"/>
          <w:szCs w:val="24"/>
        </w:rPr>
        <w:t>Zamawiający „Wymaga się, aby urządzenia oczyszczalni posiadały (potwierdzoną przez laboratorium notyfikowane, które wykonywało badania zgodnie z Załącznikiem B normy PN-EN 12566-3+A2: 2013, wydaną przez producenta) Dokumentację Techniczno Ruchową (DTR)</w:t>
      </w:r>
      <w:r w:rsidR="00C60E3E" w:rsidRPr="00C60E3E">
        <w:rPr>
          <w:sz w:val="24"/>
          <w:szCs w:val="24"/>
          <w:lang w:val="pl-PL"/>
        </w:rPr>
        <w:t xml:space="preserve">. </w:t>
      </w:r>
      <w:r w:rsidRPr="00C60E3E">
        <w:rPr>
          <w:sz w:val="24"/>
          <w:szCs w:val="24"/>
          <w:lang w:val="pl-PL"/>
        </w:rPr>
        <w:t xml:space="preserve">Czy Zamawiający uzna warunek za spełniony, jeżeli DTR  </w:t>
      </w:r>
      <w:r w:rsidRPr="00C60E3E">
        <w:rPr>
          <w:rStyle w:val="gwp819a05e4size"/>
          <w:sz w:val="24"/>
          <w:szCs w:val="24"/>
          <w:lang w:val="pl-PL"/>
        </w:rPr>
        <w:t xml:space="preserve">będzie </w:t>
      </w:r>
      <w:r w:rsidRPr="00C60E3E">
        <w:rPr>
          <w:bCs/>
          <w:sz w:val="24"/>
          <w:szCs w:val="24"/>
          <w:lang w:eastAsia="pl-PL"/>
        </w:rPr>
        <w:t>potwierdzon</w:t>
      </w:r>
      <w:r w:rsidRPr="00C60E3E">
        <w:rPr>
          <w:bCs/>
          <w:sz w:val="24"/>
          <w:szCs w:val="24"/>
          <w:lang w:val="pl-PL" w:eastAsia="pl-PL"/>
        </w:rPr>
        <w:t>a</w:t>
      </w:r>
      <w:r w:rsidRPr="00C60E3E">
        <w:rPr>
          <w:bCs/>
          <w:sz w:val="24"/>
          <w:szCs w:val="24"/>
          <w:lang w:val="pl-PL" w:eastAsia="pl-PL"/>
        </w:rPr>
        <w:br/>
      </w:r>
      <w:r w:rsidRPr="00C60E3E">
        <w:rPr>
          <w:bCs/>
          <w:sz w:val="24"/>
          <w:szCs w:val="24"/>
          <w:lang w:eastAsia="pl-PL"/>
        </w:rPr>
        <w:t xml:space="preserve"> i zaparafowaną przez </w:t>
      </w:r>
      <w:r w:rsidRPr="00C60E3E">
        <w:rPr>
          <w:bCs/>
          <w:sz w:val="24"/>
          <w:szCs w:val="24"/>
          <w:lang w:val="pl-PL" w:eastAsia="pl-PL"/>
        </w:rPr>
        <w:t>p</w:t>
      </w:r>
      <w:r w:rsidRPr="00C60E3E">
        <w:rPr>
          <w:bCs/>
          <w:sz w:val="24"/>
          <w:szCs w:val="24"/>
          <w:lang w:eastAsia="pl-PL"/>
        </w:rPr>
        <w:t xml:space="preserve">producenta  w </w:t>
      </w:r>
      <w:r w:rsidRPr="00C60E3E">
        <w:rPr>
          <w:sz w:val="24"/>
          <w:szCs w:val="24"/>
        </w:rPr>
        <w:t xml:space="preserve">zakresie jej zgodności z procedurami określonymi </w:t>
      </w:r>
      <w:r w:rsidRPr="00C60E3E">
        <w:rPr>
          <w:sz w:val="24"/>
          <w:szCs w:val="24"/>
          <w:lang w:val="pl-PL"/>
        </w:rPr>
        <w:br/>
      </w:r>
      <w:r w:rsidRPr="00C60E3E">
        <w:rPr>
          <w:sz w:val="24"/>
          <w:szCs w:val="24"/>
        </w:rPr>
        <w:t>w punkcie B.2.1 do B.2.3 normy PN EN 12566-3:2005+A2:2013.</w:t>
      </w:r>
    </w:p>
    <w:p w:rsidR="004178A8" w:rsidRDefault="004178A8" w:rsidP="00D87985">
      <w:pPr>
        <w:pStyle w:val="Akapitzlist"/>
        <w:widowControl w:val="0"/>
        <w:tabs>
          <w:tab w:val="left" w:pos="1134"/>
        </w:tabs>
        <w:overflowPunct/>
        <w:ind w:left="0"/>
        <w:jc w:val="both"/>
        <w:textAlignment w:val="auto"/>
        <w:rPr>
          <w:b/>
          <w:sz w:val="24"/>
          <w:szCs w:val="24"/>
          <w:lang w:val="pl-PL"/>
        </w:rPr>
      </w:pPr>
    </w:p>
    <w:p w:rsidR="004178A8" w:rsidRDefault="004178A8" w:rsidP="00D87985">
      <w:pPr>
        <w:pStyle w:val="Akapitzlist"/>
        <w:widowControl w:val="0"/>
        <w:tabs>
          <w:tab w:val="left" w:pos="1134"/>
        </w:tabs>
        <w:overflowPunct/>
        <w:ind w:left="0"/>
        <w:jc w:val="both"/>
        <w:textAlignment w:val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Odpowiedź Zamawiającego na pytanie 4</w:t>
      </w:r>
    </w:p>
    <w:p w:rsidR="00D87985" w:rsidRPr="004178A8" w:rsidRDefault="004178A8" w:rsidP="00D87985">
      <w:pPr>
        <w:pStyle w:val="Akapitzlist"/>
        <w:widowControl w:val="0"/>
        <w:tabs>
          <w:tab w:val="left" w:pos="1134"/>
        </w:tabs>
        <w:overflowPunct/>
        <w:ind w:left="0"/>
        <w:jc w:val="both"/>
        <w:textAlignment w:val="auto"/>
        <w:rPr>
          <w:b/>
          <w:sz w:val="24"/>
          <w:szCs w:val="24"/>
          <w:lang w:val="pl-PL"/>
        </w:rPr>
      </w:pPr>
      <w:r w:rsidRPr="004178A8">
        <w:rPr>
          <w:b/>
          <w:sz w:val="24"/>
          <w:szCs w:val="24"/>
          <w:lang w:val="pl-PL"/>
        </w:rPr>
        <w:t>Tak</w:t>
      </w:r>
    </w:p>
    <w:p w:rsidR="00D87985" w:rsidRPr="00D87985" w:rsidRDefault="00D87985" w:rsidP="00D8798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985" w:rsidRPr="00D87985" w:rsidRDefault="00D87985" w:rsidP="00D8798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 xml:space="preserve">Pytanie 5 </w:t>
      </w:r>
    </w:p>
    <w:p w:rsid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Norma</w:t>
      </w:r>
      <w:r w:rsidRPr="00D87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985">
        <w:rPr>
          <w:rFonts w:ascii="Times New Roman" w:hAnsi="Times New Roman" w:cs="Times New Roman"/>
          <w:sz w:val="24"/>
          <w:szCs w:val="24"/>
        </w:rPr>
        <w:t>PN-EN 12566-3:2005+A2:2013</w:t>
      </w:r>
      <w:r w:rsidRPr="00D87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985">
        <w:rPr>
          <w:rFonts w:ascii="Times New Roman" w:hAnsi="Times New Roman" w:cs="Times New Roman"/>
          <w:sz w:val="24"/>
          <w:szCs w:val="24"/>
        </w:rPr>
        <w:t>wymaga się , by oczyszczalnie posiadały dodatkowo dokumenty,  wynikające z jej przepisów  zakresie   reakcji na ogień oraz wydzielania substancji niebezpiecznych.</w:t>
      </w:r>
      <w:r w:rsidR="004178A8">
        <w:rPr>
          <w:rFonts w:ascii="Times New Roman" w:hAnsi="Times New Roman" w:cs="Times New Roman"/>
          <w:sz w:val="24"/>
          <w:szCs w:val="24"/>
        </w:rPr>
        <w:t xml:space="preserve"> </w:t>
      </w:r>
      <w:r w:rsidRPr="00D87985">
        <w:rPr>
          <w:rFonts w:ascii="Times New Roman" w:hAnsi="Times New Roman" w:cs="Times New Roman"/>
          <w:sz w:val="24"/>
          <w:szCs w:val="24"/>
        </w:rPr>
        <w:t>Na jakim etapie postępowania , Zamawiający będzie wymagał dokumentów,  wynikających  z przepisów normy  PN-EN 12566-3:2005+A2:2013</w:t>
      </w:r>
      <w:r w:rsidRPr="00D87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985">
        <w:rPr>
          <w:rFonts w:ascii="Times New Roman" w:hAnsi="Times New Roman" w:cs="Times New Roman"/>
          <w:sz w:val="24"/>
          <w:szCs w:val="24"/>
        </w:rPr>
        <w:t xml:space="preserve"> zakresie   reakcji na ogień oraz wydzielania substancji niebezpiecznych? </w:t>
      </w:r>
    </w:p>
    <w:p w:rsidR="004178A8" w:rsidRDefault="004178A8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8A8" w:rsidRDefault="004178A8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8A8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5 </w:t>
      </w:r>
    </w:p>
    <w:p w:rsidR="00D87985" w:rsidRDefault="004178A8" w:rsidP="00C50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0C">
        <w:rPr>
          <w:rFonts w:ascii="Times New Roman" w:hAnsi="Times New Roman" w:cs="Times New Roman"/>
          <w:sz w:val="24"/>
          <w:szCs w:val="24"/>
        </w:rPr>
        <w:t>Zamawiający określił  w SIWZ, że wymagał będzie od oferenta przedsta</w:t>
      </w:r>
      <w:r w:rsidR="00C50B0C" w:rsidRPr="00C50B0C">
        <w:rPr>
          <w:rFonts w:ascii="Times New Roman" w:hAnsi="Times New Roman" w:cs="Times New Roman"/>
          <w:sz w:val="24"/>
          <w:szCs w:val="24"/>
        </w:rPr>
        <w:t>wienia w ofercie zgodności wyrob</w:t>
      </w:r>
      <w:r w:rsidRPr="00C50B0C">
        <w:rPr>
          <w:rFonts w:ascii="Times New Roman" w:hAnsi="Times New Roman" w:cs="Times New Roman"/>
          <w:sz w:val="24"/>
          <w:szCs w:val="24"/>
        </w:rPr>
        <w:t>u z normą PN-EN 12566-3+A2:2013</w:t>
      </w:r>
      <w:r w:rsidR="00C50B0C">
        <w:rPr>
          <w:rFonts w:ascii="Times New Roman" w:hAnsi="Times New Roman" w:cs="Times New Roman"/>
          <w:sz w:val="24"/>
          <w:szCs w:val="24"/>
        </w:rPr>
        <w:t xml:space="preserve"> tzn., że będzie wymagał również załączenia dokumentów potwierdzających reakcję wyrobu</w:t>
      </w:r>
      <w:r w:rsidR="00C50B0C" w:rsidRPr="00D87985">
        <w:rPr>
          <w:rFonts w:ascii="Times New Roman" w:hAnsi="Times New Roman" w:cs="Times New Roman"/>
          <w:sz w:val="24"/>
          <w:szCs w:val="24"/>
        </w:rPr>
        <w:t xml:space="preserve"> na ogień oraz wydziel</w:t>
      </w:r>
      <w:r w:rsidR="00C50B0C">
        <w:rPr>
          <w:rFonts w:ascii="Times New Roman" w:hAnsi="Times New Roman" w:cs="Times New Roman"/>
          <w:sz w:val="24"/>
          <w:szCs w:val="24"/>
        </w:rPr>
        <w:t xml:space="preserve">ania substancji niebezpiecznych mimo, że szczegółowo tego nie wymienił. Dzięki tej odpowiedzi mamy możliwość tę informacje uszczegółowić. Dokumenty te będą wymagane zgodnie z art. 24aa </w:t>
      </w:r>
      <w:r w:rsidR="00C60E3E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C60E3E">
        <w:rPr>
          <w:rFonts w:ascii="Times New Roman" w:hAnsi="Times New Roman" w:cs="Times New Roman"/>
          <w:sz w:val="24"/>
          <w:szCs w:val="24"/>
        </w:rPr>
        <w:t>P</w:t>
      </w:r>
      <w:r w:rsidR="00C50B0C">
        <w:rPr>
          <w:rFonts w:ascii="Times New Roman" w:hAnsi="Times New Roman" w:cs="Times New Roman"/>
          <w:sz w:val="24"/>
          <w:szCs w:val="24"/>
        </w:rPr>
        <w:t>zp</w:t>
      </w:r>
      <w:proofErr w:type="spellEnd"/>
      <w:r w:rsidR="00C50B0C">
        <w:rPr>
          <w:rFonts w:ascii="Times New Roman" w:hAnsi="Times New Roman" w:cs="Times New Roman"/>
          <w:sz w:val="24"/>
          <w:szCs w:val="24"/>
        </w:rPr>
        <w:t xml:space="preserve"> po dokonaniu oceny ofert a następnie Zamawiający wezwie oferenta, którego oferta została oceniona jako najkorzystniejsza w trybie art. 26 ustawy </w:t>
      </w:r>
      <w:proofErr w:type="spellStart"/>
      <w:r w:rsidR="00C50B0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50B0C">
        <w:rPr>
          <w:rFonts w:ascii="Times New Roman" w:hAnsi="Times New Roman" w:cs="Times New Roman"/>
          <w:sz w:val="24"/>
          <w:szCs w:val="24"/>
        </w:rPr>
        <w:t xml:space="preserve"> do przedstawienia tych oraz innych wymaganych dokumentów wyznaczając termin na ich złożenie w celu sprawdzenia czy oferta nie podlega wykluczeniu oraz czy spełnia warunki udziału w postępowaniu</w:t>
      </w:r>
    </w:p>
    <w:p w:rsidR="00C50B0C" w:rsidRPr="00C50B0C" w:rsidRDefault="00C50B0C" w:rsidP="00C50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0C" w:rsidRDefault="00C50B0C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985" w:rsidRPr="00C50B0C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B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Pytanie 6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Czy Zamawiający dokona odtajnienia  raportów z badań wystawionych przez laboratorium notyfikowane?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  <w:u w:val="single"/>
        </w:rPr>
        <w:t xml:space="preserve">Uzasadnienie do pytania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  <w:u w:val="single"/>
        </w:rPr>
        <w:t xml:space="preserve">Raporty z badań  dla przydomowych oczyszczalni ścieków </w:t>
      </w:r>
      <w:r w:rsidRPr="00D87985">
        <w:rPr>
          <w:rFonts w:ascii="Times New Roman" w:hAnsi="Times New Roman" w:cs="Times New Roman"/>
          <w:sz w:val="24"/>
          <w:szCs w:val="24"/>
        </w:rPr>
        <w:t xml:space="preserve">  wystawione przez laboratorium notyfikowane przez Komisję Europejską </w:t>
      </w:r>
      <w:r w:rsidRPr="00D87985">
        <w:rPr>
          <w:rFonts w:ascii="Times New Roman" w:hAnsi="Times New Roman" w:cs="Times New Roman"/>
          <w:sz w:val="24"/>
          <w:szCs w:val="24"/>
          <w:u w:val="single"/>
        </w:rPr>
        <w:t>nie spełniają  przesłanek tajemnicy przedsiębiorstwa</w:t>
      </w:r>
      <w:r w:rsidRPr="00D87985">
        <w:rPr>
          <w:rFonts w:ascii="Times New Roman" w:hAnsi="Times New Roman" w:cs="Times New Roman"/>
          <w:sz w:val="24"/>
          <w:szCs w:val="24"/>
        </w:rPr>
        <w:t xml:space="preserve"> bowiem raporty określają , czy wskazane do badania przydomowe oczyszczalnie ścieków są zgodne z parametrami opisanymi w normie PN EN 12566-3+A2:2013,  w zakresie: skuteczności oczyszczania, wytrzymałości konstrukcyjnej, trwałości, wodoszczelności . Wynika z tego, że raporty jedynie potwierdzają, czy dana instalacja została wykonana zgodnie z cytowana normą, a </w:t>
      </w:r>
      <w:r w:rsidRPr="00D87985">
        <w:rPr>
          <w:rFonts w:ascii="Times New Roman" w:hAnsi="Times New Roman" w:cs="Times New Roman"/>
          <w:sz w:val="24"/>
          <w:szCs w:val="24"/>
          <w:u w:val="single"/>
        </w:rPr>
        <w:t xml:space="preserve"> raport nie odnosi się do : </w:t>
      </w:r>
    </w:p>
    <w:p w:rsidR="00D87985" w:rsidRPr="00D87985" w:rsidRDefault="00D87985" w:rsidP="00D879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charakteru technicznego przedsiębiorstwa – czyli działalności przedsiębiorstwa  polegającej  na wytwarzaniu przedmiotów niewystępujących naturalnie w przyrodzie</w:t>
      </w:r>
    </w:p>
    <w:p w:rsidR="00D87985" w:rsidRPr="00D87985" w:rsidRDefault="00D87985" w:rsidP="00D879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technologii wytwarzania przydomowej oczyszczalni </w:t>
      </w:r>
    </w:p>
    <w:p w:rsidR="00D87985" w:rsidRPr="00D87985" w:rsidRDefault="00D87985" w:rsidP="00D879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organizacji przedsiębiorstwa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Zastrzeżenie informacji, które nie stanowią tajemnicy przedsiębiorstwa w rozumieniu ustawy o zwalczaniu nieuczciwej konkurencji należy traktować, jako bezskuteczne</w:t>
      </w:r>
      <w:r w:rsidRPr="00D87985">
        <w:rPr>
          <w:rFonts w:ascii="Times New Roman" w:hAnsi="Times New Roman" w:cs="Times New Roman"/>
          <w:sz w:val="24"/>
          <w:szCs w:val="24"/>
        </w:rPr>
        <w:br/>
        <w:t xml:space="preserve"> i powinno skutkować  zgodnie z uchwałą SN z 20 października 2005 r. (sygn. III CZP  74/05) ich odtajnieniem.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Ponadto, w </w:t>
      </w:r>
      <w:r w:rsidRPr="00D87985">
        <w:rPr>
          <w:rFonts w:ascii="Times New Roman" w:hAnsi="Times New Roman" w:cs="Times New Roman"/>
          <w:sz w:val="24"/>
          <w:szCs w:val="24"/>
          <w:u w:val="single"/>
        </w:rPr>
        <w:t>świetle wyroków KIO 452/11, 399/11, 100/12 utajnianie raportów potwierdzających dane techniczne i parametry eksploatacyjne  urządzenia jest nieuzasadnione.</w:t>
      </w:r>
      <w:r w:rsidRPr="00D87985">
        <w:rPr>
          <w:rFonts w:ascii="Times New Roman" w:hAnsi="Times New Roman" w:cs="Times New Roman"/>
          <w:sz w:val="24"/>
          <w:szCs w:val="24"/>
        </w:rPr>
        <w:t xml:space="preserve"> Należy jednocześnie zaznaczyć, że nieuzasadnione utajnienie dokumentów jest naruszeniem przepisów ustawy </w:t>
      </w:r>
      <w:proofErr w:type="spellStart"/>
      <w:r w:rsidRPr="00D8798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7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FA0" w:rsidRDefault="001A3FA0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A0">
        <w:rPr>
          <w:rFonts w:ascii="Times New Roman" w:hAnsi="Times New Roman" w:cs="Times New Roman"/>
          <w:b/>
          <w:sz w:val="24"/>
          <w:szCs w:val="24"/>
        </w:rPr>
        <w:t xml:space="preserve">Odpowiedź Zamawiającego na pytanie 6 </w:t>
      </w:r>
    </w:p>
    <w:p w:rsidR="001A3FA0" w:rsidRDefault="001A3FA0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FA0" w:rsidRDefault="001A3FA0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Zamawiający dokona odtajnienia  raportów z badań wystawionych przez laboratorium notyfikowane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FA0" w:rsidRPr="001A3FA0" w:rsidRDefault="001A3FA0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b/>
          <w:sz w:val="24"/>
          <w:szCs w:val="24"/>
        </w:rPr>
        <w:t>Pytanie  7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Czy Zamawiający dokona odtajnienia  Deklaracji Właściwości Użytkowych ( DWU) </w:t>
      </w:r>
      <w:r w:rsidRPr="00D87985">
        <w:rPr>
          <w:rFonts w:ascii="Times New Roman" w:hAnsi="Times New Roman" w:cs="Times New Roman"/>
          <w:sz w:val="24"/>
          <w:szCs w:val="24"/>
        </w:rPr>
        <w:br/>
        <w:t xml:space="preserve">  i Dokumentacji Techniczno-Ruchowej ( DTR)  Instrukcji montażu i eksploatacji przydomowej oczyszczalni  ?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 Uzasadnienie: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W przypadku Deklaracji Właściwości Użytkowych  należy zaznaczyć: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NR 305/2011 z dnia 9 marca 2011 r. ustanawia zharmonizowane warunki wprowadzania do obrotu wyrobów budowlanych. Rozporządzenie reguluje sprawy oznakowania CE dla wyrobów budowlanych oraz dopuszcza rozwiązania krajowe (dopuszczenie jednostkowe, znak budowlany B). Rozporządzenie 305/2011 przywołuje, że wyrobem budowlanym jest wszystko to, co zostaje trwale wbudowane w obiekty budowlane lub części obiektów budowlanych, co ma znaczący wpływ na właściwości użytkowe obiektów budowlanych w stosunku do podstawowych wymagań dotyczących obiektów budowlanych.  Oznakowanie CE na podstawie rozporządzenia CPR (rozporządzenie 305/2011 wraz ze zmianami) </w:t>
      </w:r>
      <w:r w:rsidRPr="00D87985">
        <w:rPr>
          <w:rFonts w:ascii="Times New Roman" w:hAnsi="Times New Roman" w:cs="Times New Roman"/>
          <w:sz w:val="24"/>
          <w:szCs w:val="24"/>
          <w:u w:val="single"/>
        </w:rPr>
        <w:t>można nadać po sprawdzeniu zgodności wyrobu z aktualną normą zharmonizowaną.</w:t>
      </w:r>
      <w:r w:rsidRPr="00D87985">
        <w:rPr>
          <w:rFonts w:ascii="Times New Roman" w:hAnsi="Times New Roman" w:cs="Times New Roman"/>
          <w:sz w:val="24"/>
          <w:szCs w:val="24"/>
        </w:rPr>
        <w:t xml:space="preserve"> Wyroby budowlane oznakowane zgodnie z 305/2011 znakiem CE, muszą mieć wystawioną </w:t>
      </w:r>
      <w:hyperlink r:id="rId6" w:history="1">
        <w:r w:rsidRPr="00D87985">
          <w:rPr>
            <w:rStyle w:val="Hipercze"/>
            <w:rFonts w:ascii="Times New Roman" w:hAnsi="Times New Roman" w:cs="Times New Roman"/>
            <w:sz w:val="24"/>
            <w:szCs w:val="24"/>
          </w:rPr>
          <w:t>deklarację właściwości użytkowych</w:t>
        </w:r>
      </w:hyperlink>
      <w:r w:rsidRPr="00D879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Od 1 lipca 2013 r., wraz z wejściem w życie postanowień  Rozporządzenia UE Nr 305/2011, obowiązkowe stało się korzystanie z deklaracji właściwości użytkowych DWU. Deklaracja właściwości użytkowych jest dokumentem zastępującym dotychczas obowiązujące deklaracje zgodności (DZ) . Wspomniane wcześniej rozporządzenie, nakłada obowiązek sporządzenia </w:t>
      </w:r>
      <w:r w:rsidRPr="00D87985">
        <w:rPr>
          <w:rFonts w:ascii="Times New Roman" w:hAnsi="Times New Roman" w:cs="Times New Roman"/>
          <w:sz w:val="24"/>
          <w:szCs w:val="24"/>
        </w:rPr>
        <w:lastRenderedPageBreak/>
        <w:t xml:space="preserve">DWU przez wszystkich producentów wyrobów budowlanych, które podlegają normom  i ocenom zharmonizowanym, a tym samym są znakowane znakiem CE.  Deklaracja właściwości użytkowych zawiera szereg istotnych informacji o produkcie. Przede wszystkim zawiera informację o parametrach normowych spełnianych przez produkt </w:t>
      </w:r>
      <w:r w:rsidRPr="00D87985">
        <w:rPr>
          <w:rFonts w:ascii="Times New Roman" w:hAnsi="Times New Roman" w:cs="Times New Roman"/>
          <w:sz w:val="24"/>
          <w:szCs w:val="24"/>
          <w:u w:val="single"/>
        </w:rPr>
        <w:t>w odniesieniu do normatywów zharmonizowanych</w:t>
      </w:r>
      <w:r w:rsidRPr="00D87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Deklaracja właściwości użytkowych jest dokumentem, który zawiera pełną charakterystykę danego produktu, w zakresie spełnienia przez ten produkt wymagań podstawowych dla obiektów budowlanych. Deklarację właściwości użytkowych, zawierają minimalny, wymagalny zestaw informacji o produkcie, pozwalający na porównanie tego produktu  z innym. Dla każdego produktu, w zależności od planowanego zastosowania, istnieje minimalny zakres charakterystyki.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985">
        <w:rPr>
          <w:rFonts w:ascii="Times New Roman" w:hAnsi="Times New Roman" w:cs="Times New Roman"/>
          <w:sz w:val="24"/>
          <w:szCs w:val="24"/>
          <w:u w:val="single"/>
        </w:rPr>
        <w:t>Głównym celem wprowadzenia DWU, jest umożliwienie odbiorcom – użytkownikom łatwego porównania produktów dostępnych na rynku, na podstawie konkretnych danych, które pozwolą na maksymalne dopasowanie produktu do ich potrzeb.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Podobna sytuacja występuje w przypadku takich dokumentów jak: Dokumentacja Techniczno-Ruchowa , czy  Instrukcja montażu i eksploatacji.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Dokumentacja Techniczno-Ruchowa i Instrukcja montażu i eksploatacji to podstawowe dokumenty, które muszą być przekazane każdemu użytkownikowi. Użytkownik natomiast nie ma zakazu udostępniania tych dokumentów osobom trzecim , np. firmie konserwującej urządzenia.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Z powyższego wynika, że uznanie powyższych dokumentów za </w:t>
      </w:r>
      <w:r w:rsidRPr="00D87985">
        <w:rPr>
          <w:rFonts w:ascii="Times New Roman" w:hAnsi="Times New Roman" w:cs="Times New Roman"/>
          <w:sz w:val="24"/>
          <w:szCs w:val="24"/>
          <w:u w:val="single"/>
        </w:rPr>
        <w:t xml:space="preserve">tajemnicę </w:t>
      </w:r>
      <w:hyperlink r:id="rId7" w:tooltip="Wyjaśnienie definicji" w:history="1">
        <w:r w:rsidRPr="00D87985">
          <w:rPr>
            <w:rStyle w:val="Hipercze"/>
            <w:rFonts w:ascii="Times New Roman" w:hAnsi="Times New Roman" w:cs="Times New Roman"/>
            <w:sz w:val="24"/>
            <w:szCs w:val="24"/>
          </w:rPr>
          <w:t>przedsiębiorstwa</w:t>
        </w:r>
      </w:hyperlink>
      <w:r w:rsidRPr="00D87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7985">
        <w:rPr>
          <w:rFonts w:ascii="Times New Roman" w:hAnsi="Times New Roman" w:cs="Times New Roman"/>
          <w:sz w:val="24"/>
          <w:szCs w:val="24"/>
        </w:rPr>
        <w:t xml:space="preserve">w rozumieniu ustawy o zwalczaniu nieuczciwej konkurencji jest bezzasadne. Zastrzeżenie informacji, które nie stanowią tajemnicy przedsiębiorstwa </w:t>
      </w:r>
      <w:r w:rsidRPr="00D87985">
        <w:rPr>
          <w:rFonts w:ascii="Times New Roman" w:hAnsi="Times New Roman" w:cs="Times New Roman"/>
          <w:sz w:val="24"/>
          <w:szCs w:val="24"/>
        </w:rPr>
        <w:br/>
        <w:t xml:space="preserve">w rozumieniu ustawy o zwalczaniu nieuczciwej konkurencji należy traktować, jako bezskuteczne i powinno skutkować -  zgodnie z uchwałą SN z 20 października 2005 r. (sygn. III CZP  74/05)-  ich odtajnieniem. </w:t>
      </w:r>
    </w:p>
    <w:p w:rsidR="00D87985" w:rsidRPr="00D87985" w:rsidRDefault="00D87985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W </w:t>
      </w:r>
      <w:r w:rsidRPr="00D87985">
        <w:rPr>
          <w:rFonts w:ascii="Times New Roman" w:hAnsi="Times New Roman" w:cs="Times New Roman"/>
          <w:sz w:val="24"/>
          <w:szCs w:val="24"/>
          <w:u w:val="single"/>
        </w:rPr>
        <w:t>świetle wyroków KIO 452/11, 399/11, 100/12 utajnianie raportów potwierdzających dane techniczne i parametry eksploatacyjne  urządzenia jest nieuzasadnione.</w:t>
      </w:r>
      <w:r w:rsidRPr="00D87985">
        <w:rPr>
          <w:rFonts w:ascii="Times New Roman" w:hAnsi="Times New Roman" w:cs="Times New Roman"/>
          <w:sz w:val="24"/>
          <w:szCs w:val="24"/>
        </w:rPr>
        <w:t xml:space="preserve"> Należy jednocześnie zaznaczyć, że nieuzasadnione utajnienie dokumentów jest naruszeniem przepisów ustawy </w:t>
      </w:r>
      <w:proofErr w:type="spellStart"/>
      <w:r w:rsidRPr="00D8798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879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FA0" w:rsidRDefault="001A3FA0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FA0" w:rsidRPr="001A3FA0" w:rsidRDefault="001A3FA0" w:rsidP="00D87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FA0">
        <w:rPr>
          <w:rFonts w:ascii="Times New Roman" w:hAnsi="Times New Roman" w:cs="Times New Roman"/>
          <w:b/>
          <w:sz w:val="24"/>
          <w:szCs w:val="24"/>
        </w:rPr>
        <w:t>Odpowiedź zamawiającego na pytanie 7</w:t>
      </w:r>
    </w:p>
    <w:p w:rsidR="001A3FA0" w:rsidRDefault="001A3FA0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Zamawiający dokona odtajnienia  Deklaracji Właściwości Użytkowych ( DWU) </w:t>
      </w:r>
      <w:r w:rsidRPr="00D87985">
        <w:rPr>
          <w:rFonts w:ascii="Times New Roman" w:hAnsi="Times New Roman" w:cs="Times New Roman"/>
          <w:sz w:val="24"/>
          <w:szCs w:val="24"/>
        </w:rPr>
        <w:br/>
        <w:t xml:space="preserve">  i Dokumentacji Techniczno-Ruchowej ( DTR)  Instrukcji montażu i eksploatacji przydomowej oczyszczalni</w:t>
      </w:r>
    </w:p>
    <w:p w:rsidR="001A3FA0" w:rsidRDefault="001A3FA0" w:rsidP="00D87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C60E3E" w:rsidRDefault="00C60E3E" w:rsidP="00C60E3E">
      <w:pPr>
        <w:tabs>
          <w:tab w:val="left" w:pos="2408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0E3E">
        <w:rPr>
          <w:rFonts w:ascii="Times New Roman" w:hAnsi="Times New Roman" w:cs="Times New Roman"/>
          <w:b/>
          <w:i/>
          <w:sz w:val="24"/>
          <w:szCs w:val="24"/>
        </w:rPr>
        <w:t>Wójt Gminy Błędów</w:t>
      </w:r>
    </w:p>
    <w:p w:rsidR="00C60E3E" w:rsidRPr="00C60E3E" w:rsidRDefault="00C60E3E" w:rsidP="00C60E3E">
      <w:pPr>
        <w:tabs>
          <w:tab w:val="left" w:pos="2408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60E3E">
        <w:rPr>
          <w:rFonts w:ascii="Times New Roman" w:hAnsi="Times New Roman" w:cs="Times New Roman"/>
          <w:b/>
          <w:i/>
          <w:sz w:val="24"/>
          <w:szCs w:val="24"/>
        </w:rPr>
        <w:t>Mirosław Jakubczak</w:t>
      </w:r>
    </w:p>
    <w:sectPr w:rsidR="00C60E3E" w:rsidRPr="00C6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30E0"/>
    <w:multiLevelType w:val="hybridMultilevel"/>
    <w:tmpl w:val="D180D4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A5E98"/>
    <w:multiLevelType w:val="hybridMultilevel"/>
    <w:tmpl w:val="8B8CEB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363C"/>
    <w:multiLevelType w:val="hybridMultilevel"/>
    <w:tmpl w:val="E818A4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1CD1"/>
    <w:multiLevelType w:val="hybridMultilevel"/>
    <w:tmpl w:val="68D418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>
    <w:useFELayout/>
  </w:compat>
  <w:rsids>
    <w:rsidRoot w:val="00D87985"/>
    <w:rsid w:val="001A3FA0"/>
    <w:rsid w:val="004178A8"/>
    <w:rsid w:val="00C50B0C"/>
    <w:rsid w:val="00C60E3E"/>
    <w:rsid w:val="00D8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87985"/>
    <w:rPr>
      <w:color w:val="0000FF"/>
      <w:u w:val="single"/>
    </w:rPr>
  </w:style>
  <w:style w:type="paragraph" w:styleId="Akapitzlist">
    <w:name w:val="List Paragraph"/>
    <w:aliases w:val="L1,Numerowanie,List Paragraph,Akapit z listą5,T_SZ_List Paragraph,normalny tekst,Akapit z listą BS,Kolorowa lista — akcent 11,Średnia siatka 1 — akcent 21,sw tekst"/>
    <w:basedOn w:val="Normalny"/>
    <w:link w:val="AkapitzlistZnak"/>
    <w:uiPriority w:val="99"/>
    <w:qFormat/>
    <w:rsid w:val="00D8798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kapitzlistZnak">
    <w:name w:val="Akapit z listą Znak"/>
    <w:aliases w:val="L1 Znak,Numerowanie Znak,Akapit z listą Znak2,List Paragraph Znak,Akapit z listą5 Znak,T_SZ_List Paragraph Znak,normalny tekst Znak,Akapit z listą BS Znak,Kolorowa lista — akcent 11 Znak,Średnia siatka 1 — akcent 21 Znak,sw tekst Znak"/>
    <w:link w:val="Akapitzlist"/>
    <w:uiPriority w:val="99"/>
    <w:qFormat/>
    <w:rsid w:val="00D87985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Standard">
    <w:name w:val="Standard"/>
    <w:rsid w:val="00D879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gwp819a05e4size">
    <w:name w:val="gwp819a05e4_size"/>
    <w:basedOn w:val="Domylnaczcionkaakapitu"/>
    <w:rsid w:val="00D8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kroporady.pl/pomocne-definicje/121-przedsiebiorstw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-polska.pl/deklaracja-wlasciwosci-uzytkowych-305-2011" TargetMode="External"/><Relationship Id="rId5" Type="http://schemas.openxmlformats.org/officeDocument/2006/relationships/hyperlink" Target="mailto:osrodowiska@bled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1946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MF</cp:lastModifiedBy>
  <cp:revision>3</cp:revision>
  <dcterms:created xsi:type="dcterms:W3CDTF">2020-12-28T17:58:00Z</dcterms:created>
  <dcterms:modified xsi:type="dcterms:W3CDTF">2020-12-28T18:33:00Z</dcterms:modified>
</cp:coreProperties>
</file>